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0" w:rsidRDefault="002541A0" w:rsidP="002541A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36"/>
          <w:szCs w:val="36"/>
        </w:rPr>
      </w:pPr>
      <w:r w:rsidRPr="002541A0">
        <w:rPr>
          <w:rFonts w:cs="Arial"/>
          <w:bCs/>
          <w:sz w:val="36"/>
          <w:szCs w:val="36"/>
        </w:rPr>
        <w:t>Code of Practice for assessors</w:t>
      </w:r>
      <w:bookmarkStart w:id="0" w:name="_GoBack"/>
      <w:bookmarkEnd w:id="0"/>
    </w:p>
    <w:p w:rsidR="002541A0" w:rsidRPr="002541A0" w:rsidRDefault="002541A0" w:rsidP="002541A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36"/>
          <w:szCs w:val="36"/>
        </w:rPr>
      </w:pPr>
    </w:p>
    <w:p w:rsidR="002541A0" w:rsidRPr="002541A0" w:rsidRDefault="002541A0" w:rsidP="002541A0">
      <w:pPr>
        <w:rPr>
          <w:sz w:val="20"/>
          <w:szCs w:val="20"/>
        </w:rPr>
      </w:pPr>
      <w:r w:rsidRPr="002541A0">
        <w:rPr>
          <w:sz w:val="20"/>
          <w:szCs w:val="20"/>
        </w:rPr>
        <w:t xml:space="preserve">The Code of Practice </w:t>
      </w:r>
      <w:r w:rsidRPr="002541A0">
        <w:rPr>
          <w:sz w:val="20"/>
          <w:szCs w:val="20"/>
        </w:rPr>
        <w:t>is to</w:t>
      </w:r>
      <w:r w:rsidRPr="002541A0">
        <w:rPr>
          <w:sz w:val="20"/>
          <w:szCs w:val="20"/>
        </w:rPr>
        <w:t xml:space="preserve"> support professionally</w:t>
      </w:r>
      <w:r w:rsidRPr="002541A0">
        <w:rPr>
          <w:sz w:val="20"/>
          <w:szCs w:val="20"/>
        </w:rPr>
        <w:t xml:space="preserve"> </w:t>
      </w:r>
      <w:r w:rsidRPr="002541A0">
        <w:rPr>
          <w:sz w:val="20"/>
          <w:szCs w:val="20"/>
        </w:rPr>
        <w:t>responsible and ethical assess</w:t>
      </w:r>
      <w:r w:rsidRPr="002541A0">
        <w:rPr>
          <w:sz w:val="20"/>
          <w:szCs w:val="20"/>
        </w:rPr>
        <w:t>ment practice and to guide a</w:t>
      </w:r>
      <w:r w:rsidRPr="002541A0">
        <w:rPr>
          <w:sz w:val="20"/>
          <w:szCs w:val="20"/>
        </w:rPr>
        <w:t>ssessors in the</w:t>
      </w:r>
      <w:r w:rsidRPr="002541A0">
        <w:rPr>
          <w:sz w:val="20"/>
          <w:szCs w:val="20"/>
        </w:rPr>
        <w:t xml:space="preserve"> </w:t>
      </w:r>
      <w:r w:rsidRPr="002541A0">
        <w:rPr>
          <w:sz w:val="20"/>
          <w:szCs w:val="20"/>
        </w:rPr>
        <w:t>responsibilities of their work. This code is loosely based on an international code</w:t>
      </w:r>
      <w:r w:rsidRPr="002541A0">
        <w:rPr>
          <w:sz w:val="20"/>
          <w:szCs w:val="20"/>
        </w:rPr>
        <w:t xml:space="preserve"> </w:t>
      </w:r>
      <w:r w:rsidRPr="002541A0">
        <w:rPr>
          <w:sz w:val="20"/>
          <w:szCs w:val="20"/>
        </w:rPr>
        <w:t>developed by the National Council for Measurement in Education.</w:t>
      </w:r>
    </w:p>
    <w:p w:rsidR="002541A0" w:rsidRPr="002541A0" w:rsidRDefault="002541A0" w:rsidP="002541A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The differing needs and requirements of the candidates, the local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enterprise/s and/or industry are identified and handled with sensitivity.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Potential forms of conflict of interest in the assessment process and/or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outcomes are identified, and appropriate referrals are made, if necessary.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All forms of harassment are avoided throughout the assessment process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and in the review and reporting of assessment outcomes.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The rights of candidates are protected during and after the assessment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process.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Candidates are made aware of their rights and processes of appeal.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Personal or interpersonal factors that are irrelevant to the assessment of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competence must not influence the assessment outcomes.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• Evidence is verified against the rules of evidence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Assessment decisions are based on available evidence that can be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produced and verified by another assessor.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Assessments are conducted within the boundaries of the assessment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system policies and procedures.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Formal agreement is obtained from candidates and the assessor that the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assessment was carried out in accordance with agreed procedures.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Assessment systems and tools are consistent with equal opportunity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legislation.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Candidates are informed of all assessment reporting processes prior to the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assessment.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Candidates are informed of all known potential consequences of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assessment decisions, prior to the assessment.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Confidentiality is maintained regarding assessment decisions/outcomes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and records of individual assessment outcomes which identify personal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details are only released with the written permission of the candidate/s.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Assessment outcomes are used consistently with the purposes explained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to candidates.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Self-assessments are periodically conducted to ensure current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 xml:space="preserve">competence against the </w:t>
      </w:r>
      <w:r w:rsidRPr="002541A0">
        <w:rPr>
          <w:rFonts w:cs="Arial"/>
          <w:sz w:val="22"/>
        </w:rPr>
        <w:t>benchmarks that they work with/in.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Professional development opportunities are identified and sought.</w:t>
      </w:r>
    </w:p>
    <w:p w:rsidR="002541A0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Opportunities for networking amongst assessors are created and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maintained.</w:t>
      </w:r>
    </w:p>
    <w:p w:rsidR="00731B4A" w:rsidRPr="002541A0" w:rsidRDefault="002541A0" w:rsidP="002541A0">
      <w:pPr>
        <w:rPr>
          <w:rFonts w:cs="Arial"/>
          <w:sz w:val="22"/>
        </w:rPr>
      </w:pPr>
      <w:r w:rsidRPr="002541A0">
        <w:rPr>
          <w:rFonts w:cs="Arial"/>
          <w:sz w:val="22"/>
        </w:rPr>
        <w:t>Opportunities are created for technical assistance in planning, conducting</w:t>
      </w:r>
      <w:r w:rsidRPr="002541A0">
        <w:rPr>
          <w:rFonts w:cs="Arial"/>
          <w:sz w:val="22"/>
        </w:rPr>
        <w:t xml:space="preserve"> </w:t>
      </w:r>
      <w:r w:rsidRPr="002541A0">
        <w:rPr>
          <w:rFonts w:cs="Arial"/>
          <w:sz w:val="22"/>
        </w:rPr>
        <w:t>and reviewing assessment practice and participating in validation.</w:t>
      </w:r>
    </w:p>
    <w:sectPr w:rsidR="00731B4A" w:rsidRPr="002541A0" w:rsidSect="002541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56A3"/>
    <w:multiLevelType w:val="hybridMultilevel"/>
    <w:tmpl w:val="F454B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A0"/>
    <w:rsid w:val="002541A0"/>
    <w:rsid w:val="007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Clark</dc:creator>
  <cp:lastModifiedBy>John Clark</cp:lastModifiedBy>
  <cp:revision>1</cp:revision>
  <dcterms:created xsi:type="dcterms:W3CDTF">2011-09-22T02:09:00Z</dcterms:created>
  <dcterms:modified xsi:type="dcterms:W3CDTF">2011-09-22T02:13:00Z</dcterms:modified>
</cp:coreProperties>
</file>